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A76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7640" w:rsidRDefault="00E5496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A7640" w:rsidRDefault="00E5496D">
            <w:pPr>
              <w:spacing w:after="0" w:line="240" w:lineRule="auto"/>
            </w:pPr>
            <w:r>
              <w:t>15608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7640" w:rsidRDefault="00E5496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A7640" w:rsidRDefault="00E5496D">
            <w:pPr>
              <w:spacing w:after="0" w:line="240" w:lineRule="auto"/>
            </w:pPr>
            <w:r>
              <w:t>OSNOVNA GLAZBENA ŠKOLA PAKRAC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A7640" w:rsidRDefault="00E5496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A7640" w:rsidRDefault="00E5496D">
            <w:pPr>
              <w:spacing w:after="0" w:line="240" w:lineRule="auto"/>
            </w:pPr>
            <w:r>
              <w:t>31</w:t>
            </w:r>
          </w:p>
        </w:tc>
      </w:tr>
    </w:tbl>
    <w:p w:rsidR="00AA7640" w:rsidRDefault="00E5496D">
      <w:r>
        <w:br/>
      </w:r>
    </w:p>
    <w:p w:rsidR="00AA7640" w:rsidRDefault="00E5496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A7640" w:rsidRDefault="00E5496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A7640" w:rsidRDefault="00E5496D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207.133,95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249.795,60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228.067,79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251.698,20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20.933,84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1.902,60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9,1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1980,7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1980,7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21.037,34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3.952,59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18,8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razdoblju od 1. siječnja do 30. lipnja 2026. godine prihodi poslovanja ostvareni su u iznosu od 249.795,60 EUR, što predstavlja povećanje za 20,6 % u odnosu na isto izvještajno razdoblje prethodne godine. Najznačajnije povećanje prihoda ostvareno je od t</w:t>
      </w:r>
      <w:r>
        <w:t>ekućih pomoći proračunskim korisnicima iz proračuna koji im nije nadležan (MZOM) za plaće i  naknade 220.860,86 EUR što predstavlja povećanje za 19,2 % u odnosu na isto izvještajno razdoblje prethodne godine. Tekuće pomoći od Grada Pakraca u ovom izvještaj</w:t>
      </w:r>
      <w:r>
        <w:t xml:space="preserve">nom razdoblju iznose 6.900,00 EUR (indeks 345,0), a odnosi se na prihode za financiranje rashoda za obilježavanje </w:t>
      </w:r>
      <w:r>
        <w:lastRenderedPageBreak/>
        <w:t>30. obljetnice Škole. Prihodi od upravnih i administrativnih pristojbi (participacije učenika za opremanje i poboljšanje uvjeta rada Škole) iz</w:t>
      </w:r>
      <w:r>
        <w:t xml:space="preserve">nose 12.357,76 EUR, što predstavlja povećanje od 29,0 % radi toga što se cijena participacije povećala od školske godine 2025./2026. Prihodi od pruženih usluga u ovom izvještajnom razdoblju (najam glazbenih instrumenata učenicima) iznose 10,00 EUR, dok ih </w:t>
      </w:r>
      <w:r>
        <w:t>u prošlom izvještajnom razdoblju nije bilo. Prihodi iz nadležnog proračuna za financiranje rashoda poslovanja iznose 9.666,98 EUR, što je za 5,2 % manje u odnosu na isto izvještajno razdoblje prethodne godine.</w:t>
      </w:r>
    </w:p>
    <w:p w:rsidR="00AA7640" w:rsidRDefault="00E5496D">
      <w:r>
        <w:t>U 2026. godini ostvaren je manjak prihoda posl</w:t>
      </w:r>
      <w:r>
        <w:t>ovanja u iznosu od 1.902,60 EUR (indeks 9,1 %).</w:t>
      </w:r>
    </w:p>
    <w:p w:rsidR="00AA7640" w:rsidRDefault="00E5496D">
      <w:r>
        <w:t>Rashodi poslovanja u razdoblju od 1. siječnja do 30. lipnja 2026. godine ostvareni su u ukupnom iznosu od 251.698,20 EUR, što predstavlja povećanje za 10,4% u odnosu na isto izvještajno razdoblje prethodne go</w:t>
      </w:r>
      <w:r>
        <w:t>dine. Najznačajnije povećanje rashoda evidentirano je na materijalnim rashodima  (54.297,56 EUR), što predstavlja povećanje za 43,3 %. U istom izvještajnom razdoblju prethodne godine materijalni rashodi su iznosili 37.893,73 EUR. Do ovolikog povećanja mate</w:t>
      </w:r>
      <w:r>
        <w:t>rijalnih rashoda je došlo radi rashoda vezanih uz obilježavanje 30. obljetnice Škole, održavanje Smotre zborova (kojoj smo bili domaćini), održavanja 7. Dječjeg festivala Domoljubne pjesme.</w:t>
      </w:r>
    </w:p>
    <w:p w:rsidR="00AA7640" w:rsidRDefault="00E5496D">
      <w:r>
        <w:t>U navedenom razdoblju nema ostvarenih prihoda od prodaje nefinanci</w:t>
      </w:r>
      <w:r>
        <w:t>jske imovine, dok su rashodi za nabavu nefinancijske imovine ostvareni u iznosu od 2.049,99 EUR. Navedeni rashod odnosi se na nabavu glazbenih instrumenata (tambure), te telefona za tajništvo.</w:t>
      </w:r>
    </w:p>
    <w:p w:rsidR="00AA7640" w:rsidRDefault="00E5496D">
      <w:r>
        <w:t>U navedenom razdoblju nije bilo ostvarenih primitaka i izdataka</w:t>
      </w:r>
      <w:r>
        <w:t xml:space="preserve"> od financijske imovine i zaduživanja.</w:t>
      </w:r>
    </w:p>
    <w:p w:rsidR="00AA7640" w:rsidRDefault="00E5496D">
      <w:r>
        <w:t>U razdoblju od 1. siječnja do 30. lipnja 2026. godine ostvaren je manjak prihoda poslovanja u iznosu 1.902,60 EUR, manjak prihoda od nefinancijske imovine u iznosu od 2.049,99 EUR, slijedom čega je na kraju izvještajn</w:t>
      </w:r>
      <w:r>
        <w:t>og razdoblja ostvaren ukupan manjak prihoda i primitaka u iznosu od 3.952,59 EUR. Ukupni preneseni manjak prihoda iz 2025. godine iznosi 21.385,76 EUR.</w:t>
      </w:r>
    </w:p>
    <w:p w:rsidR="00AA7640" w:rsidRDefault="00E5496D">
      <w:r>
        <w:br/>
      </w:r>
    </w:p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187.357,90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227.760,86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Tekuće pomoći proračunskim korisnicima iz proračuna koji im nije nadležan bilježe povećanje od 21,6 % u odnosu na prethodno razdoblje. 220.860,86 EUR se odnosi na pomoći od MZOM za plaće i naknade. Na povećanje prihoda od pomoći utjecala je Odluka o visini</w:t>
      </w:r>
      <w:r>
        <w:t xml:space="preserve"> osnovice za obračun plaće zaposlenicima u javnim službama u 2026. godinu. </w:t>
      </w:r>
    </w:p>
    <w:p w:rsidR="00AA7640" w:rsidRDefault="00E5496D">
      <w:r>
        <w:t xml:space="preserve">Tekuće pomoći od Grada Pakraca u ovom izvještajnom razdoblju iznose 6.900,00 EUR, dok je u izvještajnom razdoblju ostvareno 2.000,00 EUR. Do povećanja ovih prihoda je došlo radi </w:t>
      </w:r>
      <w:r>
        <w:lastRenderedPageBreak/>
        <w:t>ob</w:t>
      </w:r>
      <w:r>
        <w:t>ilježavanja 30. godina Škole, gdje je Grad Pakrac prema Odluci o dodjeli sredstava uplatio sredstva za pokrivanje rashoda za obilježavanje Dana Škole.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12.357,76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Od 2025./2026. školske godine je došlo do povećanja cijene participacije učenika te je rezultat toga povećanje ovih prihoda za 29,0%. 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10.193,35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Prihodi unutar ovog odjeljka dolaze od strane Požeško-slavonske županije, ostvareni su u iznosu od 9.666,98 EUR što je za 5,2% manje u odnosu na isto izvještajno razdoblje prethodne godine. Decentralizirana sredstva odnose se na financiranje redovne djelat</w:t>
      </w:r>
      <w:r>
        <w:t>nosti, tj. materijalnih rashoda.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155.856,01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159.412,93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102,3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prethodnom izvještajnom razdoblju ostvareno je ukupno 155.856,01 EUR rashoda od plaća za redovan rad i prekovremeni rad, dok je u izvještajnom razdoblju tekuće godine ostvaren iznos od 159.412,93 EUR što predstavlja povećanje od 2,3%. Do povećanja je doš</w:t>
      </w:r>
      <w:r>
        <w:t>lo zbog Odluke o visini osnovice za obračun plaće zaposlenicima u javnim službama u 2026. godini, te zbog toga što u ovoj godini imamo zaposlenog operativnog djelatnika za civilnu zaštitu i sigurnost.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149,0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Ostali rashodi za zaposlene iznose 12.428,70 EUR, što je za 49,0 % više u odnosu na isto izvještajno razdoblje prethodne godine. Ostali rashodi odnose se na isplatu nagrade za uskršnje blagdane u iznosu od 1.500,00 EUR; materijalnih prava u iznosu od 1.324</w:t>
      </w:r>
      <w:r>
        <w:t>,32 EUR (smrt roditelja, naknada za rođenje djeteta za dva zaposlenika; regres u iznosu 3.000,00 EUR, te isplate neiskorištenog godišnjeg odmora za djelatnike kojima je prestao radni odnos u iznosu od 6.604,38 EUR.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3.288,62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175,7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izvještajnom razdoblju rashodi za službena putovanja ostvareni su u iznosu 3.288,62 EUR, što u usporedi s prethodnim razdobljem (kada su iznosili 1.872,17 EUR) predstavlja povećanje od 1.416,45 EUR, odnosno veći su za 75,7 %. Navedeni rashodi odnose se n</w:t>
      </w:r>
      <w:r>
        <w:t>a službena putovanja zaposlenika Škole (učitelja i ravnateljice), te obuhvaćaju troškove dnevnica i troškove prijevoza.  U ovom izvještajnom razdoblju su učitelji sa učenicima sudjelovali na većem broju natjecanja.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17.600,73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26.843,67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Rashodi za naknade za prijevoz su povećani za 52,5 % u odnosu na izvještajno razdoblje prethodne godine zbog većeg broja djelatnika koji putuju iz drugih gradova i mjesta. Jednom zaposleniku je isplaćena razlika naknade za prijevoz iznad 100,00 km nakon do</w:t>
      </w:r>
      <w:r>
        <w:t>bivene suglasnosti za isplatu od Ministarstva znanosti, obrazovanja i mladih.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</w:t>
            </w:r>
            <w:r>
              <w:rPr>
                <w:sz w:val="18"/>
              </w:rPr>
              <w:t>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382,6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izvještajnom razdoblju rashodi za ostale naknade troškova zaposlenicima ostvareni su u iznosu od 44,00 EUR, što u usporedbi s prethodnim razdobljem (kada su iznosili 11,50 EUR) predstavlja povećanje od 32,50 EUR. Indeks ostvarenja iznosi 382,6 %. Naveden</w:t>
      </w:r>
      <w:r>
        <w:t xml:space="preserve">i rashodi u cijelosti se odnose na naknade troškova zaposlenicima za upotrebu privatnog automobila u službene svrhe (tzv. </w:t>
      </w:r>
      <w:proofErr w:type="spellStart"/>
      <w:r>
        <w:t>loko</w:t>
      </w:r>
      <w:proofErr w:type="spellEnd"/>
      <w:r>
        <w:t xml:space="preserve"> vožnja - domar i spremačica, te učitelji za potrebe animacija za upis djece u osnovnim školama koje gravitiraju našem upisnom pod</w:t>
      </w:r>
      <w:r>
        <w:t>ručju).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195,7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ovoj godini je utrošeno više sredstava u iznosu od 153,14 EUR što predstavlja povećanje za 95,7 % za materijal i dijelove za tekuće i investicijsko održavanje.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78,4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ovoj godini su kupljene slušalice vrijednosti 29,99 EUR, dok je prošle godine kupljena ubodna pila u vrijednosti 38,25 EUR.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199,9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 xml:space="preserve">Uvećani rashodi radi plaćanja prijevoza naših učenica mini busom na gostovanje u </w:t>
      </w:r>
      <w:proofErr w:type="spellStart"/>
      <w:r>
        <w:t>Csepregu</w:t>
      </w:r>
      <w:proofErr w:type="spellEnd"/>
      <w:r>
        <w:t xml:space="preserve"> (Mađarska) u njihovoj glazbenoj školi u iznosu od 1.300,00 EUR.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Uvećani rashodi radi povećanja cijena usluga vode i odvoza komunalnog otpada.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Rashodi za intelektualne i osobne usluge smanjeni su za 29,2 % u odnosu na izvještajno razdoblje prethodne godine radi toga što je bilo manje potrebe za zapošljavanjem učitelja na taj način (kao zamjena za učitelje na bolovanju).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Rashodi za računalne usluge iznose 1.083,30 EUR, što je za 16,1 % više u odnosu na prethodno izvještajno razdoblje radi povećanje cijene usluge za održavanje informacijskog sustava riznice sa 150,00 EUR u 2025. godini, na 175,00 EUR u ovoj godini.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188,4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 xml:space="preserve">Rashodi za ostale usluge iznose 467,35 EUR što je za 219,35 EUR više u odnosu na prethodno izvještajno razdoblje odnosno za 88,4 % više. U ovom izvještajnom razdoblju plaćeni su rashodi za tiskanje plakata i pozivnica, izrade </w:t>
      </w:r>
      <w:proofErr w:type="spellStart"/>
      <w:r>
        <w:t>banera</w:t>
      </w:r>
      <w:proofErr w:type="spellEnd"/>
      <w:r>
        <w:t xml:space="preserve"> za obilježavanje 30. ob</w:t>
      </w:r>
      <w:r>
        <w:t>ljetnice Škole (300,60 EUR), te za usluge pročišćavanja otpadnih voda (166,75 EUR).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399,8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Naknade troškova osobama izvan radnog odnosa iznosi 4.380,00 EUR što je za 299,8 % više u odnosu na izvještajno razdoblje prethodne godine. Do povećanja je došlo radi većeg broja kotizacija za učenike koji su odlazili na razna natjecanja. 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260,6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Rashodi za reprezentaciju iznose 2.567,05 EUR što je za 160,6 % više u odnosu na izvještajno razdoblje prethodne godine radi održavanja 7. Dječjeg festivala Domoljubne pjesme (kupnja kolača i buketa), održavanja Smotre Zborova,  obilježavanja 30. godišnjic</w:t>
      </w:r>
      <w:r>
        <w:t>e osnutka i rada Škole (domjenak za uzvanike).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192,2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izvještajnom razdoblju ostali nespomenuti rashodi ostvareni su u iznosu od 1.280,89 EUR, što u usporedbi s prethodnim razdobljem (kada su iznosili 666,50 EUR) predstavlja povećanje od 614,39 EUR, odnosno veći su za 92,2 %. Dio sredstava utrošen je na nab</w:t>
      </w:r>
      <w:r>
        <w:t>avu prigodnih uniformiranih majica za učenike i učitelje koji su nastupali na svečanom koncertu povodom proslave 30. obljetnice Škole.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30.650,91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41.869,38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136,6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 xml:space="preserve">Obračunati prihodi poslovanja - nenaplaćeni ostvareni u tekućem razdoblju iznose 41.869,38 EUR, što je za 36,6 % više u odnosu na izvještajno razdoblje prethodne godine, kada su iznosili 30.650,91 EUR. Sastoje se od obračunatih prihoda poslovanja za plaće </w:t>
      </w:r>
      <w:r>
        <w:t>06/2026 u iznosu od 39.277,83 EUR; oporezivog prijevoza za 06/2026 u iznosu od 1.277,14 EUR; plaće za vanjskog suradnika (drugi dohodak) u iznosu od 297,69 EUR, te obračunatih prihoda od sufinanciranja cijene usluge (participacije učenika) u iznosu od 1.01</w:t>
      </w:r>
      <w:r>
        <w:t>6,72 EUR.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(šifre </w:t>
            </w:r>
            <w:r>
              <w:rPr>
                <w:sz w:val="18"/>
              </w:rPr>
              <w:t>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1980,7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U izvještajnom razdoblju rashodi za nabavu proizvedene dugotrajne imovine ostvareni su u iznosu od 2.049,99 EUR, što u usporedbi s prethodnim razdobljem (kada su iznosili 103,50 EUR), što predstavlja povećanje za 1880,7 % a odnose se na kupnju glazbenih in</w:t>
      </w:r>
      <w:r>
        <w:t>strumenata (</w:t>
      </w:r>
      <w:proofErr w:type="spellStart"/>
      <w:r>
        <w:t>čelović</w:t>
      </w:r>
      <w:proofErr w:type="spellEnd"/>
      <w:r>
        <w:t xml:space="preserve"> i A-</w:t>
      </w:r>
      <w:proofErr w:type="spellStart"/>
      <w:r>
        <w:t>brač</w:t>
      </w:r>
      <w:proofErr w:type="spellEnd"/>
      <w:r>
        <w:t>), te kupnje telefona.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</w:t>
            </w:r>
            <w:r>
              <w:rPr>
                <w:sz w:val="18"/>
              </w:rPr>
              <w:t xml:space="preserve">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25.338,35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141,1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 xml:space="preserve">U ovom izvještajnom razdoblju ostvaren je manjak prihoda i primitaka u iznosu od 25.338,35 EUR, što je za 41,1 % više u odnosu na isto izvještajno razdoblje prethodne godine. Manjak je metodološke prirode i odnosi se na rashod za isplatu plaća, oporezivog </w:t>
      </w:r>
      <w:r>
        <w:t>prijevoza, drugog dohotka za lipanj 2026. godine, a čiji će prihod biti ostvaren u srpnju tekuće godine.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(šifre </w:t>
            </w:r>
            <w:r>
              <w:rPr>
                <w:sz w:val="18"/>
              </w:rPr>
              <w:t>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41.690,85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Stanje obveza na kraju izvještajnog razdoblja iznosi 41.690,85 EUR, a odnose se na sljedeće obveze: a) podskupina 231 Obveze za zaposlene u iznosu  37.429,35 EUR; b) podskupina 232 Obveze za materijalne rashode u iznosu 4.229,83 EUR; c) podskupina 276 Obve</w:t>
      </w:r>
      <w:r>
        <w:t>ze proračunskih korisnika za povrat u državni proračun u iznosu 31,67 EUR.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Na dan 30.06.2026. godine nema dospjelih obveza na kraju izvještajnog razdoblja.</w:t>
      </w:r>
    </w:p>
    <w:p w:rsidR="00AA7640" w:rsidRDefault="00AA7640"/>
    <w:p w:rsidR="00AA7640" w:rsidRDefault="00E5496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A76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A76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AA764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ND24 + 'ND dio 25,26' </w:t>
            </w:r>
            <w:r>
              <w:rPr>
                <w:sz w:val="18"/>
              </w:rPr>
              <w:t>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41.690,85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A7640" w:rsidRDefault="00E549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A7640" w:rsidRDefault="00AA7640">
      <w:pPr>
        <w:spacing w:after="0"/>
      </w:pPr>
    </w:p>
    <w:p w:rsidR="00AA7640" w:rsidRDefault="00E5496D">
      <w:r>
        <w:t>Stanje nedospjelih obveza na kraju izvještajnog razdoblja iznosi 41.690,85 EUR, a odnosi se na:</w:t>
      </w:r>
    </w:p>
    <w:p w:rsidR="00AA7640" w:rsidRDefault="00E5496D">
      <w:r>
        <w:t>a) plaće za lipanj 2026. godine koje dospijevaju u srpnju 2026. godine u iznosu od 39.277,83 EUR,</w:t>
      </w:r>
    </w:p>
    <w:p w:rsidR="00AA7640" w:rsidRDefault="00E5496D">
      <w:r>
        <w:t>b) oporezivi prijevoz za lipanj 2026. godine koji dospijeva u srpnju 2026. godine u iznosu od 1.277,14 EUR,</w:t>
      </w:r>
    </w:p>
    <w:p w:rsidR="00AA7640" w:rsidRDefault="00E5496D">
      <w:r>
        <w:t>c) intelektualne i osobne usluge (drugi dohodak) za lipanj 2026. godine koje dospijevaju u srpnju 2026. godine u iznosu 297,69 EUR,</w:t>
      </w:r>
    </w:p>
    <w:p w:rsidR="00AA7640" w:rsidRDefault="00E5496D">
      <w:r>
        <w:t>d) prijevoz za v</w:t>
      </w:r>
      <w:r>
        <w:t>anjskog suradnika za lipanj u iznosu od 53,13 EUR,</w:t>
      </w:r>
    </w:p>
    <w:p w:rsidR="00AA7640" w:rsidRDefault="00E5496D">
      <w:r>
        <w:t>e) obveza za povrat u državni proračun u iznosu 31,67 EUR,</w:t>
      </w:r>
    </w:p>
    <w:p w:rsidR="00AA7640" w:rsidRDefault="00E5496D">
      <w:r>
        <w:t>f) obveza prema dobavljačima u iznosu od 753,39 EUR.</w:t>
      </w:r>
    </w:p>
    <w:p w:rsidR="00AA7640" w:rsidRDefault="00E5496D">
      <w:r>
        <w:t> </w:t>
      </w:r>
    </w:p>
    <w:p w:rsidR="00AA7640" w:rsidRDefault="00AA7640"/>
    <w:sectPr w:rsidR="00AA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640"/>
    <w:rsid w:val="00676770"/>
    <w:rsid w:val="00AA7640"/>
    <w:rsid w:val="00E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D08A0-EE71-4610-B099-2C9A8A18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2593</Words>
  <Characters>14785</Characters>
  <Application>Microsoft Office Word</Application>
  <DocSecurity>0</DocSecurity>
  <Lines>123</Lines>
  <Paragraphs>34</Paragraphs>
  <ScaleCrop>false</ScaleCrop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2026-07-14T07:36:00Z</dcterms:created>
  <dcterms:modified xsi:type="dcterms:W3CDTF">2026-07-14T07:37:00Z</dcterms:modified>
</cp:coreProperties>
</file>