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d973f070c96445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15608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GLAZBENA ŠKOLA PAKRAC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361.549,26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389.309,33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359.407,75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410.835,60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21.526,27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7.863,67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5.722,16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24.461,84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427,5</w:t>
            </w:r>
          </w:p>
        </w:tc>
      </w:tr>
    </w:tbl>
    <w:p>
      <w:pPr>
        <w:spacing w:before="0" w:after="0"/>
      </w:pPr>
    </w:p>
    <w:p>
      <w:r>
        <w:t xml:space="preserve">U razdoblju od 1. siječnja do 31. prosinca 2025. godine prihodi poslovanja ostvareni su u iznosu od 389.309,33 EUR. Najznačajnije povećanje prihoda poslovanja ostvareno je od tekućih pomoći proračunskim korisnicima iz proračuna koji im nije nadležan. Rashodi poslovanja u razdoblju 1. siječnja 2025. godine ostvareni su u iznosu od 410.835,60 EUR.  Manjak prihoda i primitaka iznosi 24.461,84 EUR i posljedica je rasta rashoda za plaće zaposlenika zbog povećanja koeficijenta u sustavu obrazovanja, što se odrazilo na rashodovnu stranu poslovanja (šifra 3) bez proporcionalog rasta prihoda (šifra 6).  U 2025. godini su ukinuti kontinuirani rashodi te je to utjecalo na iskazani manjak. Manjak prihoda od nefinancijske imovine je 2.935,57 EUR, proizlazi iz izvršenih ulaganja u nefinancijsku imovinu škole tijekom izvještajnog razdoblja, s ciljem unapređenja opreme škole, pri čemu su ulaganja financirana iz prihoda za posebne namjene te donacije trgovačkog društva.</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324.435,23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351.177,66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bl>
    <w:p>
      <w:pPr>
        <w:spacing w:before="0" w:after="0"/>
      </w:pPr>
    </w:p>
    <w:p>
      <w:r>
        <w:t xml:space="preserve">Prihodi unutar ovog odjeljka dolaze od proračuna Ministarstva znanosti, obrazovanja i mladih, a namijenjeni su financiranju rashoda zaposlenih, drugog dohotka za vanjske suradnike. Prihodi za isplatu plaća i materijalnih prava zaposlenika u razdoblju 1. siječnja 2025. do 31.12.2025. godine iznose 351.177,66 EUR uvećani su za 8,2 % u odnosu na isto izvještajno razdoblje prošle godine radi isplate materijalnih prava (jubilarna nagrada, naknada za invalidnost malodobnog djeteta, regres).</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Prihodi unutar ovog odjeljka odnose se na prihode od participacije učenika za opremanje i poboljšanje uvjeta rada Škole, veći su za 8,0 % u odnosu na izvještajno razdoblje prethodne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20.391,69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19.674,70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w:t>
            </w:r>
          </w:p>
        </w:tc>
      </w:tr>
    </w:tbl>
    <w:p>
      <w:pPr>
        <w:spacing w:before="0" w:after="0"/>
      </w:pPr>
    </w:p>
    <w:p>
      <w:r>
        <w:t xml:space="preserve">Prihodi unutar ovog odjeljka dolaze od strane Požeško-slavonske županije, a odnose se na podmirenje rashoda poslovanja za decentralizirane funkcije prema zakonskom standardu u osnovnom školstvu u iznosu od 19.674,70 EUR, što je za 3,5 % manje u odnosu na izvještajno razdoblje prethodne godine. Decentralizirana sredstva odnose se na financiranje redovne djelatnosti, tj. materijalnih rashoda. U ovom izvještajnom razdoblju nismo bili organizator Županijske smotre zborova, za Dan škole nismo imali troškova vezanih uz smještaj učenika glazbene škole iz Mađarske.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234.245,95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276.089,77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U prethodnom izvještajnom razdoblju ostvareno je ukupno 234.245,95 EUR rashoda za plaće za redovan rad, dok je u izvještajnom razdoblju tekuće godine ostvaren iznos od 276.089,77 EUR, što predstavlja povećanje od 17,9 %. Do povećanja je došlo radi ukidanja vremenskog razgraničenja plaća.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Ostali rashodi za zaposlene iznose 15.661,94 EUR što je za 21,5 % više u odnosu na izvještajno razdoblje prethodne godine. U ovom izvještajnom razdoblju isplaćena je potpora za novorođeno dijete, jubilarna nagrada, naknada za invalidnost malodobnog djeteta, dar za djecu, naknada za neiskorišteni godišnji odmor.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39.949,58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46.755,40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Doprinosi za obvezno zdravstveno osiguranje u ovom izvještajnom razdoblju iznose 46.755,40 EUR što je za 17,0 % više u odnosu na izvještajno razdoblje prethodne godine radi ukidanja vremenskog razgraničenja.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24.031,18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30.584,34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r>
        <w:t xml:space="preserve">Uvećani su rashodi za naknade za prijevoz za 27,3 % u odnosu na isto izvještajno razdoblje prošle godine radi ukidanja vremenskog razgraničenja te zbog većeg broja učitelja koji putuju na posao.</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w:t>
            </w:r>
          </w:p>
        </w:tc>
      </w:tr>
    </w:tbl>
    <w:p>
      <w:pPr>
        <w:spacing w:before="0" w:after="0"/>
      </w:pPr>
    </w:p>
    <w:p>
      <w:r>
        <w:t xml:space="preserve">Rashodi za stručno usavršavanje zaposlenika iznose  557,50 EUR što je za 59,0 % manje u odnosu na isto izvještajno razdoblje prethodne godine zbog manjeg broja sudjelovanja na seminarima, webinarima, a najvećim dijelom zbog toga što je u prošlom izvještajnom razdoblju domar osposobljen za energetska zanimanja - ložač centralnog grijanja.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w:t>
            </w:r>
          </w:p>
        </w:tc>
      </w:tr>
    </w:tbl>
    <w:p>
      <w:pPr>
        <w:spacing w:before="0" w:after="0"/>
      </w:pPr>
    </w:p>
    <w:p>
      <w:r>
        <w:t xml:space="preserve">Ostale naknade troškova zaposlenima - loko vožnja u ovom izvještajnom razdoblju su manje za 36,2 % u odnosu na isto izvještajno razdoblje prošle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w:t>
            </w:r>
          </w:p>
        </w:tc>
      </w:tr>
    </w:tbl>
    <w:p>
      <w:pPr>
        <w:spacing w:before="0" w:after="0"/>
      </w:pPr>
    </w:p>
    <w:p>
      <w:r>
        <w:t xml:space="preserve">Rashodi za uredski materijal i ostale materijalne rashode su uvećani za 26,0 % u odnosu na izvještajno razdoblje prethodne godine radi većih rashoda za literaturu, sredstva za čišćenje.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w:t>
            </w:r>
          </w:p>
        </w:tc>
      </w:tr>
    </w:tbl>
    <w:p>
      <w:pPr>
        <w:spacing w:before="0" w:after="0"/>
      </w:pPr>
    </w:p>
    <w:p>
      <w:r>
        <w:t xml:space="preserve">Rashodi za materijal i dijelove za tekuće i investicijsko održavanje iznose 605,82 EUR što je za 34,5 % više u odnosu na izvještajno razdoblje prethodne godine radi kupovine materijala za tapaciranje klupčica u hodniku škole.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w:t>
            </w:r>
          </w:p>
        </w:tc>
      </w:tr>
    </w:tbl>
    <w:p>
      <w:pPr>
        <w:spacing w:before="0" w:after="0"/>
      </w:pPr>
    </w:p>
    <w:p>
      <w:r>
        <w:t xml:space="preserve">Rashodi za sitni inventar su 42,7 % veći u odnosu na izvještajno razdoblje prethodne godine. Ove godine je nabavljena ubodna pila, tepih staze, metronomi.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w:t>
            </w:r>
          </w:p>
        </w:tc>
      </w:tr>
    </w:tbl>
    <w:p>
      <w:pPr>
        <w:spacing w:before="0" w:after="0"/>
      </w:pPr>
    </w:p>
    <w:p>
      <w:r>
        <w:t xml:space="preserve">Rashodi za usluge telefona, interneta, pošte i prijevoza u iznosu od 1.478,44 EUR što je smanjenje za 37,5 % u odnosu na izvještajno razdoblje prethodne godine radi toga što je došlo do promjene tarife za fiksni telefon i mobilne usluge, te zbog prijevoza učenika mini busom u Mađarsku (gostovanje naših učenika) u iznosu od 1.000,00 EUR - ove godine nisu išli. Ove godine je bio trošak prijevoza učenika u Zagreb na susret zborova (400,00 EUR).</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w:t>
            </w:r>
          </w:p>
        </w:tc>
      </w:tr>
    </w:tbl>
    <w:p>
      <w:pPr>
        <w:spacing w:before="0" w:after="0"/>
      </w:pPr>
    </w:p>
    <w:p>
      <w:r>
        <w:t xml:space="preserve">Rashodi za usluge tekućeg i investicijskog održavanja u ovom izvještajnom razdoblju iznose 4.818,31 EUR što je za 14,6 % manje u odnosu na izvještajno razdoblje prethodne godine radi toga što su prošle godine servisirane harmonike. U ovom izvještajnom razdoblju su korištene usluge za bojanje prostorija škole u iznosu od 1.360,00 EUR.</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Rashodi za komunalne usluge su za 8,4 % veći u odnosu na izvještajno razdoblje što je rezultat povećanja cijena usluga.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w:t>
            </w:r>
          </w:p>
        </w:tc>
      </w:tr>
    </w:tbl>
    <w:p>
      <w:pPr>
        <w:spacing w:before="0" w:after="0"/>
      </w:pPr>
    </w:p>
    <w:p>
      <w:r>
        <w:t xml:space="preserve">Rashodi za zdravstvene i veterinarske usluge iznose 56,00 EUR što je za 96,9 %  radi toga što ove godine nije bilo obveznih i preventivnih zdravstvenih pregleda.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Rashodi za intelektualne i osobne usluge iznose 5.541,72 EUR što je za 13,0 % više u odnous na isto razdoblje prethodne godine, što je rezultat nemogućnosti pronalaska zaposlenika na ugovor o radu.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w:t>
            </w:r>
          </w:p>
        </w:tc>
      </w:tr>
    </w:tbl>
    <w:p>
      <w:pPr>
        <w:spacing w:before="0" w:after="0"/>
      </w:pPr>
    </w:p>
    <w:p>
      <w:r>
        <w:t xml:space="preserve">Rashodi za ostale usluge u ovom izvještajnom razdoblju iznose 563,00 EUR što je za 20,3 % manje u odnosu na izvještajno razdoblje prethodne godine radi toga što učenici nisu išli na natjecanje Zborova (nije korištena usluga prijevoza autobusom), ove godine su mijenjane brave na ulaznim vratima škole, korištene su usluge pranja tepiha.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w:t>
            </w:r>
          </w:p>
        </w:tc>
      </w:tr>
    </w:tbl>
    <w:p>
      <w:pPr>
        <w:spacing w:before="0" w:after="0"/>
      </w:pPr>
    </w:p>
    <w:p>
      <w:r>
        <w:t xml:space="preserve">Rashodi za naknade troškova osobama izvan radnog odnosa iznose 1.485,60 EUR što je za 62,1 % više u odnosu na isto izvještajno razdoblje prethodne godine zbog odlaska učenika na veći broj natjecanja, plaćanja troškova za put za ugađanje klavira, smještaja za izvođače na koncertu u suradnji s Ministarstvom kulture i medija.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w:t>
            </w:r>
          </w:p>
        </w:tc>
      </w:tr>
    </w:tbl>
    <w:p>
      <w:pPr>
        <w:spacing w:before="0" w:after="0"/>
      </w:pPr>
    </w:p>
    <w:p>
      <w:r>
        <w:t xml:space="preserve">Rashodi za ostale nespomenute rashode poslovanja iznose 874,80 EUR što je za 79,1 % manje u odnosu na isto razdoblje prošle godine zbog toga što ove godine nismo bili organizator Županijske smotre zborova, te zbog toga što u ovom izvještajnom razdoblju učenici glazbene škole iz Mađarske nisu bili kod nas u posjeti.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359.407,75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410.835,60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bl>
    <w:p>
      <w:pPr>
        <w:spacing w:before="0" w:after="0"/>
      </w:pPr>
    </w:p>
    <w:p>
      <w:r>
        <w:t xml:space="preserve">Ukupni rashodi poslovanja iznose 410.835,60 EUR što je za 14,3 % više u odnosu na isto izvještajno razdoblje prošle godine zbog ukidanja vremenskih razgraničenja.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36.062,41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w:t>
            </w:r>
          </w:p>
        </w:tc>
      </w:tr>
    </w:tbl>
    <w:p>
      <w:pPr>
        <w:spacing w:before="0" w:after="0"/>
      </w:pPr>
    </w:p>
    <w:p>
      <w:r>
        <w:t xml:space="preserve">Višak prihoda poslovanja - preneseni je smanjen za 91,5 % zbog knjiženja Odluke o raspodjeli rezultata za 2024. godinu. Prije knjiženja ove Odluke Višak prihoda poslovanja - preneseni je iznosi 38.203,92 EUR. Zatvoren je manjak prihoda od nefinancijske imovine u iznosu od 35.127,84 EUR.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36.445,27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4727,2</w:t>
            </w:r>
          </w:p>
        </w:tc>
      </w:tr>
    </w:tbl>
    <w:p>
      <w:pPr>
        <w:spacing w:before="0" w:after="0"/>
      </w:pPr>
    </w:p>
    <w:p>
      <w:r>
        <w:t xml:space="preserve">Obračunati prihodi poslovanja - nenaplaćeni iznose 36.445,27 EUR što je povećanje za 4672,2 % u odnosu na isto razdoblje prethodne godine. Iznos od 1.075,28 EUR se odnosi na participacije učenika za školu, 33.846,12 EUR se odnosi na obračunate plaće; 77,78 EUR oporezivi prijevoz te 1.446,09 EUR na materijalna prava.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w:t>
            </w:r>
          </w:p>
        </w:tc>
      </w:tr>
    </w:tbl>
    <w:p>
      <w:pPr>
        <w:spacing w:before="0" w:after="0"/>
      </w:pPr>
    </w:p>
    <w:p>
      <w:r>
        <w:t xml:space="preserve">Rashodi za nabavu nefinancijske imovine iznose 2.935,57 EUR što je manje za 62,7 % nego u istom izvještajnom razdoblju prošle godine.</w:t>
      </w:r>
    </w:p>
    <w:p>
      <w:r>
        <w:t xml:space="preserve">Nabavljen je skener, flauta, violončelo, kutna garnitura za knjižnicu, stolić.</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w:t>
            </w:r>
          </w:p>
        </w:tc>
      </w:tr>
    </w:tbl>
    <w:p>
      <w:pPr>
        <w:spacing w:before="0" w:after="0"/>
      </w:pPr>
    </w:p>
    <w:p>
      <w:r>
        <w:t xml:space="preserve">Rashodi za knjige iznose 208,01 EUR što je za 48,2 % manje u odnosu na isto izvještajno razdoblje prošle godine zbog manje nabavljenih knjiga.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w:t>
            </w:r>
          </w:p>
        </w:tc>
      </w:tr>
    </w:tbl>
    <w:p>
      <w:pPr>
        <w:spacing w:before="0" w:after="0"/>
      </w:pPr>
    </w:p>
    <w:p>
      <w:r>
        <w:t xml:space="preserve">Manjak prihoda od nefinancijske imovine iznosi 2.935,57 EUR što je za 62,7 % manje nego 2024. godine zbog manje nabavljenih glazbenih instrumenata.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w:t>
            </w:r>
          </w:p>
        </w:tc>
      </w:tr>
    </w:tbl>
    <w:p>
      <w:pPr>
        <w:spacing w:before="0" w:after="0"/>
      </w:pPr>
    </w:p>
    <w:p>
      <w:r>
        <w:t xml:space="preserve">U izvještajnom razdoblju evidentirana je nabava glazbenih instrumenata, skenera, kutne garniture, stolića, knjiga u iznosu od 2.935,57 EUR. Napravljen je ispravak vrijednosti te je stanje nefinancijske imovine 22.689,68 EUR.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w:t>
            </w:r>
          </w:p>
        </w:tc>
      </w:tr>
    </w:tbl>
    <w:p>
      <w:pPr>
        <w:spacing w:before="0" w:after="0"/>
      </w:pPr>
    </w:p>
    <w:p>
      <w:r>
        <w:t xml:space="preserve">Ispravak vrijednosti postrojenja i opreme iznosi 12.109,46 EUR.</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151,8</w:t>
            </w:r>
          </w:p>
        </w:tc>
      </w:tr>
    </w:tbl>
    <w:p>
      <w:pPr>
        <w:spacing w:before="0" w:after="0"/>
      </w:pPr>
    </w:p>
    <w:p>
      <w:r>
        <w:t xml:space="preserve">Napravljen je jednokratni otpis knjiga u vrijednosti 208,01 EUR.</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 izvještajnom razdoblju postoji potraživanje za više uplaćeni porez po godišnjem obračunu poreza u iznosu od 31,67 EUR.</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51.630,58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599,5</w:t>
            </w:r>
          </w:p>
        </w:tc>
      </w:tr>
    </w:tbl>
    <w:p>
      <w:pPr>
        <w:spacing w:before="0" w:after="0"/>
      </w:pPr>
    </w:p>
    <w:p>
      <w:r>
        <w:t xml:space="preserve">Potraživanja za prihode poslovanja iznose 51.630,58 EUR što je 499,5 % odnosi se na potraživanja za pomoći proračunskim korisnicima iz proračuna koji im nije nadležan u iznosu od 35.369,99 EUR (Ministarstvo znanosti, obrazovanja i mladih), 1.075,28 EUR od roditelja za participacije učenika za školu, 15.185,31 EUR potraživanja proračunskih korisnika uplaćena u nadležni proračun (uplate roditelja).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27.567,55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izvještajnom razdoblju su ukinuti kontinuirani rashodi budućih razdoblja.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32.332,26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36.602,74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Obveze u ovom izvještajnom razdoblju iznose 36.602,74 EUR što je za 13,2 % više u odnosu na isto izvještajno razdoblje prošle godine. Obveze obuhvaćaju: plaća za 12/2025 u iznosu od 33.846,12 EUR; oporezivi prijevoz 77,78 EUR; drugi dohodak (glazbeni vrtić) u iznosu od 104,51 EUR; neplaćeni računi u iznosu od 1.096,57 EUR; materijalna prava u iznosu od 1.446,09 EUR, obveze proračunskih korisnika za povrat u proračun u iznosu od 31,67 EUR.</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i ispravak vlastitih izvora (šifre 911-912)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w:t>
            </w:r>
          </w:p>
        </w:tc>
      </w:tr>
    </w:tbl>
    <w:p>
      <w:pPr>
        <w:spacing w:before="0" w:after="0"/>
      </w:pPr>
    </w:p>
    <w:p>
      <w:r>
        <w:t xml:space="preserve">Vlastiti izvori u iznosu 22.689,68 EUR što je za 29,3 % manje u odnosu na isto izvještajno razdoblje prošle godine. Ispravak vrijednosti u 2025. godini je 12.317,47 EUR.</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-21.385,76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-695,2</w:t>
            </w:r>
          </w:p>
        </w:tc>
      </w:tr>
    </w:tbl>
    <w:p>
      <w:pPr>
        <w:spacing w:before="0" w:after="0"/>
      </w:pPr>
    </w:p>
    <w:p>
      <w:r>
        <w:t xml:space="preserve">Rezultat - manjak u iznosu od -21.385,76 EUR do njega je došlo zbog ukidanja kontinuiranih rashoda u 2025. godini.</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iznosi 18.850,19 EUR.</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w:t>
            </w:r>
          </w:p>
        </w:tc>
      </w:tr>
    </w:tbl>
    <w:p>
      <w:pPr>
        <w:spacing w:before="0" w:after="0"/>
      </w:pPr>
    </w:p>
    <w:p>
      <w:r>
        <w:t xml:space="preserve">Manjak prihoda od nefinancijske imovine je manji za 92,8 % zbog knjiženja Odluke o raspodjeli rezultata za 2024. godinu  u iznosu od 35.127,84 EUR.</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36.445,27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4727,2</w:t>
            </w:r>
          </w:p>
        </w:tc>
      </w:tr>
    </w:tbl>
    <w:p>
      <w:pPr>
        <w:spacing w:before="0" w:after="0"/>
      </w:pPr>
    </w:p>
    <w:p>
      <w:r>
        <w:t xml:space="preserve">Obračunati prihodi poslovanja - nenaplaćeni iznose 36.445,27 EUR što je povećanje za 4672,2 % u odnosu na isto razdoblje prethodne godine. Iznos od 1.075,28 EUR se odnosi na participacije učenika za školu, 33.846,12 EUR se odnosi na obračunate plaće; 77,78 EUR oporezivi prijevoz te 1.446,09 EUR na materijalna prava.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367.271,42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413.771,17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Osnovno obrazovanje je povećano za 12,7 % te iznosi 413.771,17 EUR.</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imovine su u iznosu od 12.317,47 EUR te se odnose na ispravak vrijednosti postrojenja i opreme, te knjiga.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sastavljanja ovog izvještaja, stanje dospjelih obveza iznosi 0,00 EUR. Svi računi pristigli zaključno s danom sastavljanja izvještaja pravovremeno su zaprimljeni, knjiženi te podmireni u ugovorenim rokovima dospijeća, čime je osigurana urednost i stabilnost u upravljanju novčanim tokom ustanove.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36.571,07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nedospjelih obveza za rashode poslovanja je 36.571,07 EUR. Obuhvaćaju neplaćene račune u iznosu 1.096,57 EUR, plaća za 12/2025 u iznosu od 33.846,12 EUR; oporezivi prijevoz 12/2025 u iznosu od 77,78 EUR; drugi dohodak (glazbeni vrtić) u iznosu od 104,51 EUR; materijalna prava (regres) u iznosu od 1.446,09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9f98a5e11404b47" /></Relationships>
</file>